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219"/>
      </w:tblGrid>
      <w:tr w:rsidR="0049251F" w14:paraId="77E2B9C1" w14:textId="77777777" w:rsidTr="001001CF"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14:paraId="1D75DDD5" w14:textId="77777777" w:rsidR="001001CF" w:rsidRDefault="001001CF">
            <w:pPr>
              <w:rPr>
                <w:b/>
                <w:color w:val="004B96"/>
                <w:sz w:val="24"/>
              </w:rPr>
            </w:pPr>
          </w:p>
          <w:p w14:paraId="2D06EA5B" w14:textId="58CBCC9F" w:rsidR="0049251F" w:rsidRPr="00262206" w:rsidRDefault="006C1512">
            <w:pPr>
              <w:rPr>
                <w:b/>
                <w:color w:val="004B96"/>
                <w:sz w:val="24"/>
              </w:rPr>
            </w:pPr>
            <w:r w:rsidRPr="00262206">
              <w:rPr>
                <w:b/>
                <w:color w:val="004B96"/>
                <w:sz w:val="24"/>
              </w:rPr>
              <w:t>Stellenbezeichnung:</w:t>
            </w:r>
          </w:p>
          <w:p w14:paraId="7D596F02" w14:textId="77777777" w:rsidR="0049251F" w:rsidRPr="00262206" w:rsidRDefault="0049251F">
            <w:pPr>
              <w:rPr>
                <w:b/>
                <w:color w:val="004B96"/>
                <w:sz w:val="24"/>
              </w:rPr>
            </w:pPr>
          </w:p>
          <w:p w14:paraId="6B04AAA4" w14:textId="77777777" w:rsidR="0049251F" w:rsidRPr="00262206" w:rsidRDefault="0049251F">
            <w:pPr>
              <w:rPr>
                <w:b/>
                <w:color w:val="004B96"/>
                <w:sz w:val="24"/>
              </w:rPr>
            </w:pPr>
          </w:p>
          <w:p w14:paraId="2D134CCA" w14:textId="77777777" w:rsidR="0049251F" w:rsidRPr="00262206" w:rsidRDefault="006C1512">
            <w:pPr>
              <w:rPr>
                <w:b/>
                <w:color w:val="004B96"/>
                <w:sz w:val="24"/>
              </w:rPr>
            </w:pPr>
            <w:r w:rsidRPr="00262206">
              <w:rPr>
                <w:b/>
                <w:color w:val="004B96"/>
                <w:sz w:val="24"/>
              </w:rPr>
              <w:t>Stellenart:</w:t>
            </w:r>
          </w:p>
        </w:tc>
        <w:tc>
          <w:tcPr>
            <w:tcW w:w="6219" w:type="dxa"/>
            <w:tcBorders>
              <w:top w:val="single" w:sz="4" w:space="0" w:color="auto"/>
              <w:right w:val="single" w:sz="4" w:space="0" w:color="auto"/>
            </w:tcBorders>
          </w:tcPr>
          <w:p w14:paraId="27503745" w14:textId="77777777" w:rsidR="001001CF" w:rsidRDefault="001001CF">
            <w:pPr>
              <w:tabs>
                <w:tab w:val="left" w:pos="3480"/>
              </w:tabs>
              <w:rPr>
                <w:sz w:val="24"/>
              </w:rPr>
            </w:pPr>
          </w:p>
          <w:p w14:paraId="5875BAEC" w14:textId="4DCC07B3" w:rsidR="0049251F" w:rsidRPr="0029425A" w:rsidRDefault="00520D24">
            <w:pPr>
              <w:tabs>
                <w:tab w:val="left" w:pos="3480"/>
              </w:tabs>
              <w:rPr>
                <w:sz w:val="24"/>
              </w:rPr>
            </w:pPr>
            <w:r w:rsidRPr="0029425A">
              <w:rPr>
                <w:sz w:val="24"/>
              </w:rPr>
              <w:t>Leitung</w:t>
            </w:r>
            <w:r w:rsidR="006C1512" w:rsidRPr="0029425A">
              <w:rPr>
                <w:sz w:val="24"/>
              </w:rPr>
              <w:t xml:space="preserve"> </w:t>
            </w:r>
            <w:r w:rsidR="0029425A" w:rsidRPr="0029425A">
              <w:rPr>
                <w:sz w:val="24"/>
              </w:rPr>
              <w:t>Q</w:t>
            </w:r>
            <w:r w:rsidR="0029425A">
              <w:rPr>
                <w:sz w:val="24"/>
              </w:rPr>
              <w:t>ualitätsmanagement (QM) /</w:t>
            </w:r>
          </w:p>
          <w:p w14:paraId="3790CBE6" w14:textId="7C11943C" w:rsidR="0049251F" w:rsidRDefault="006C1512">
            <w:pPr>
              <w:tabs>
                <w:tab w:val="left" w:pos="3480"/>
              </w:tabs>
              <w:rPr>
                <w:sz w:val="24"/>
              </w:rPr>
            </w:pPr>
            <w:r>
              <w:rPr>
                <w:sz w:val="24"/>
              </w:rPr>
              <w:t>Verantwortliche Person nach GDP</w:t>
            </w:r>
          </w:p>
          <w:p w14:paraId="48EAFA11" w14:textId="77777777" w:rsidR="0049251F" w:rsidRDefault="0049251F">
            <w:pPr>
              <w:tabs>
                <w:tab w:val="left" w:pos="3480"/>
              </w:tabs>
              <w:rPr>
                <w:sz w:val="24"/>
              </w:rPr>
            </w:pPr>
          </w:p>
          <w:p w14:paraId="79882AE6" w14:textId="77777777" w:rsidR="0049251F" w:rsidRDefault="0029425A">
            <w:pPr>
              <w:tabs>
                <w:tab w:val="left" w:pos="3480"/>
              </w:tabs>
              <w:rPr>
                <w:sz w:val="24"/>
              </w:rPr>
            </w:pPr>
            <w:r>
              <w:rPr>
                <w:sz w:val="24"/>
              </w:rPr>
              <w:t>Stabsfunktion / Abteilungsleitung</w:t>
            </w:r>
          </w:p>
        </w:tc>
      </w:tr>
      <w:tr w:rsidR="0049251F" w14:paraId="00B8C66B" w14:textId="77777777">
        <w:trPr>
          <w:trHeight w:val="1037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14:paraId="4FFD1939" w14:textId="77777777" w:rsidR="0049251F" w:rsidRDefault="0049251F">
            <w:pPr>
              <w:rPr>
                <w:b/>
                <w:color w:val="003366"/>
                <w:sz w:val="24"/>
              </w:rPr>
            </w:pPr>
          </w:p>
          <w:p w14:paraId="3BBD8024" w14:textId="77777777" w:rsidR="0049251F" w:rsidRDefault="006C1512">
            <w:pPr>
              <w:rPr>
                <w:b/>
                <w:sz w:val="24"/>
              </w:rPr>
            </w:pPr>
            <w:r w:rsidRPr="00262206">
              <w:rPr>
                <w:b/>
                <w:color w:val="004B96"/>
                <w:sz w:val="24"/>
              </w:rPr>
              <w:t>Qualifikation</w:t>
            </w:r>
            <w:r>
              <w:rPr>
                <w:b/>
                <w:color w:val="003366"/>
                <w:sz w:val="24"/>
              </w:rPr>
              <w:t>:</w:t>
            </w:r>
          </w:p>
        </w:tc>
        <w:tc>
          <w:tcPr>
            <w:tcW w:w="6219" w:type="dxa"/>
            <w:tcBorders>
              <w:bottom w:val="single" w:sz="4" w:space="0" w:color="auto"/>
              <w:right w:val="single" w:sz="4" w:space="0" w:color="auto"/>
            </w:tcBorders>
          </w:tcPr>
          <w:p w14:paraId="6FE9B626" w14:textId="77777777" w:rsidR="0049251F" w:rsidRDefault="0049251F">
            <w:pPr>
              <w:rPr>
                <w:sz w:val="24"/>
              </w:rPr>
            </w:pPr>
          </w:p>
          <w:p w14:paraId="73FDBE2C" w14:textId="7D59F0E5" w:rsidR="0049251F" w:rsidRDefault="006C1512">
            <w:pPr>
              <w:rPr>
                <w:sz w:val="24"/>
              </w:rPr>
            </w:pPr>
            <w:r>
              <w:rPr>
                <w:sz w:val="24"/>
              </w:rPr>
              <w:t xml:space="preserve">Erfolgreich abgeschlossenes pharmazeutisches Studium sowie die Approbation als </w:t>
            </w:r>
            <w:proofErr w:type="spellStart"/>
            <w:r>
              <w:rPr>
                <w:sz w:val="24"/>
              </w:rPr>
              <w:t>Apotheker</w:t>
            </w:r>
            <w:r w:rsidR="001001CF">
              <w:rPr>
                <w:sz w:val="24"/>
              </w:rPr>
              <w:t>:in</w:t>
            </w:r>
            <w:proofErr w:type="spellEnd"/>
          </w:p>
          <w:p w14:paraId="68758D40" w14:textId="1C351250" w:rsidR="0049251F" w:rsidRDefault="00840221" w:rsidP="00855488">
            <w:pPr>
              <w:pStyle w:val="kKommentar"/>
              <w:rPr>
                <w:sz w:val="24"/>
              </w:rPr>
            </w:pPr>
            <w:r>
              <w:t xml:space="preserve">Die oben genannte Qualifikation ist von der Peither Logistik GmbH vorgegeben und auch für andere Unternehmen wünschenswert. Ein Hochschulstudium der Naturwissenschaften mit Master-Abschluss könnte ebenfalls akzeptiert werden.  </w:t>
            </w:r>
          </w:p>
        </w:tc>
      </w:tr>
      <w:tr w:rsidR="0049251F" w14:paraId="2F40FDE7" w14:textId="77777777">
        <w:tc>
          <w:tcPr>
            <w:tcW w:w="3528" w:type="dxa"/>
            <w:tcBorders>
              <w:bottom w:val="single" w:sz="4" w:space="0" w:color="auto"/>
            </w:tcBorders>
          </w:tcPr>
          <w:p w14:paraId="451C3A2B" w14:textId="77777777" w:rsidR="0049251F" w:rsidRDefault="0049251F">
            <w:pPr>
              <w:rPr>
                <w:b/>
                <w:sz w:val="24"/>
              </w:rPr>
            </w:pP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66F06434" w14:textId="77777777" w:rsidR="0049251F" w:rsidRDefault="0049251F">
            <w:pPr>
              <w:rPr>
                <w:sz w:val="24"/>
              </w:rPr>
            </w:pPr>
          </w:p>
        </w:tc>
      </w:tr>
      <w:tr w:rsidR="0049251F" w14:paraId="039AAD93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14:paraId="6B5946AE" w14:textId="77777777" w:rsidR="0049251F" w:rsidRPr="00262206" w:rsidRDefault="0049251F">
            <w:pPr>
              <w:rPr>
                <w:b/>
                <w:color w:val="004B96"/>
                <w:sz w:val="24"/>
              </w:rPr>
            </w:pPr>
          </w:p>
          <w:p w14:paraId="5AF97127" w14:textId="77777777" w:rsidR="0049251F" w:rsidRPr="00262206" w:rsidRDefault="006C1512">
            <w:pPr>
              <w:rPr>
                <w:b/>
                <w:color w:val="004B96"/>
                <w:sz w:val="24"/>
              </w:rPr>
            </w:pPr>
            <w:r w:rsidRPr="00262206">
              <w:rPr>
                <w:b/>
                <w:color w:val="004B96"/>
                <w:sz w:val="24"/>
              </w:rPr>
              <w:t>Vorgesetzter:</w:t>
            </w:r>
          </w:p>
        </w:tc>
        <w:tc>
          <w:tcPr>
            <w:tcW w:w="6219" w:type="dxa"/>
            <w:tcBorders>
              <w:top w:val="single" w:sz="4" w:space="0" w:color="auto"/>
              <w:right w:val="single" w:sz="4" w:space="0" w:color="auto"/>
            </w:tcBorders>
          </w:tcPr>
          <w:p w14:paraId="2E76CD65" w14:textId="77777777" w:rsidR="0049251F" w:rsidRDefault="0049251F">
            <w:pPr>
              <w:rPr>
                <w:sz w:val="24"/>
              </w:rPr>
            </w:pPr>
          </w:p>
          <w:p w14:paraId="1EB26892" w14:textId="77777777" w:rsidR="0049251F" w:rsidRDefault="0029425A">
            <w:pPr>
              <w:rPr>
                <w:sz w:val="24"/>
              </w:rPr>
            </w:pPr>
            <w:r>
              <w:rPr>
                <w:sz w:val="24"/>
              </w:rPr>
              <w:t>Geschäftsführung</w:t>
            </w:r>
          </w:p>
          <w:p w14:paraId="3D626A74" w14:textId="77777777" w:rsidR="0049251F" w:rsidRDefault="0049251F">
            <w:pPr>
              <w:rPr>
                <w:sz w:val="24"/>
              </w:rPr>
            </w:pPr>
          </w:p>
        </w:tc>
      </w:tr>
      <w:tr w:rsidR="0049251F" w14:paraId="30C78453" w14:textId="77777777">
        <w:tc>
          <w:tcPr>
            <w:tcW w:w="3528" w:type="dxa"/>
            <w:tcBorders>
              <w:left w:val="single" w:sz="4" w:space="0" w:color="auto"/>
            </w:tcBorders>
          </w:tcPr>
          <w:p w14:paraId="6001942D" w14:textId="0508F4C0" w:rsidR="0049251F" w:rsidRDefault="004047FD">
            <w:pPr>
              <w:rPr>
                <w:b/>
                <w:color w:val="004B96"/>
                <w:sz w:val="24"/>
              </w:rPr>
            </w:pPr>
            <w:r>
              <w:rPr>
                <w:b/>
                <w:color w:val="004B96"/>
                <w:sz w:val="24"/>
              </w:rPr>
              <w:t xml:space="preserve">Disziplinarisch </w:t>
            </w:r>
            <w:r w:rsidR="00F90408">
              <w:rPr>
                <w:b/>
                <w:color w:val="004B96"/>
                <w:sz w:val="24"/>
              </w:rPr>
              <w:t>d</w:t>
            </w:r>
            <w:r w:rsidR="006C1512" w:rsidRPr="00262206">
              <w:rPr>
                <w:b/>
                <w:color w:val="004B96"/>
                <w:sz w:val="24"/>
              </w:rPr>
              <w:t>irekt Unterstellte:</w:t>
            </w:r>
          </w:p>
          <w:p w14:paraId="379E6FE5" w14:textId="77777777" w:rsidR="004047FD" w:rsidRDefault="004047FD">
            <w:pPr>
              <w:rPr>
                <w:b/>
                <w:color w:val="004B96"/>
                <w:sz w:val="24"/>
              </w:rPr>
            </w:pPr>
          </w:p>
          <w:p w14:paraId="54376D19" w14:textId="77777777" w:rsidR="004047FD" w:rsidRDefault="004047FD" w:rsidP="004047FD">
            <w:pPr>
              <w:rPr>
                <w:b/>
                <w:color w:val="004B96"/>
                <w:sz w:val="24"/>
              </w:rPr>
            </w:pPr>
            <w:r>
              <w:rPr>
                <w:b/>
                <w:color w:val="004B96"/>
                <w:sz w:val="24"/>
              </w:rPr>
              <w:t xml:space="preserve">Fachlich </w:t>
            </w:r>
            <w:r w:rsidRPr="00262206">
              <w:rPr>
                <w:b/>
                <w:color w:val="004B96"/>
                <w:sz w:val="24"/>
              </w:rPr>
              <w:t>Unterstellte:</w:t>
            </w:r>
          </w:p>
          <w:p w14:paraId="6D6127CE" w14:textId="77777777" w:rsidR="004047FD" w:rsidRPr="00262206" w:rsidRDefault="004047FD">
            <w:pPr>
              <w:rPr>
                <w:b/>
                <w:color w:val="004B96"/>
                <w:sz w:val="24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14:paraId="4340EDDE" w14:textId="0DA5742F" w:rsidR="004047FD" w:rsidRDefault="000D5B3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Mitarbeiter:in</w:t>
            </w:r>
            <w:proofErr w:type="spellEnd"/>
            <w:r>
              <w:rPr>
                <w:sz w:val="24"/>
              </w:rPr>
              <w:t xml:space="preserve"> (</w:t>
            </w:r>
            <w:r w:rsidR="001001CF">
              <w:rPr>
                <w:sz w:val="24"/>
              </w:rPr>
              <w:t>MA</w:t>
            </w:r>
            <w:r>
              <w:rPr>
                <w:sz w:val="24"/>
              </w:rPr>
              <w:t>)</w:t>
            </w:r>
            <w:r w:rsidR="0029425A">
              <w:rPr>
                <w:sz w:val="24"/>
              </w:rPr>
              <w:t xml:space="preserve"> der Qualitätssicherung</w:t>
            </w:r>
          </w:p>
          <w:p w14:paraId="2CF22402" w14:textId="77777777" w:rsidR="004047FD" w:rsidRDefault="004047FD">
            <w:pPr>
              <w:rPr>
                <w:sz w:val="24"/>
              </w:rPr>
            </w:pPr>
          </w:p>
          <w:p w14:paraId="3AAF64A4" w14:textId="77777777" w:rsidR="00840221" w:rsidRDefault="00840221">
            <w:pPr>
              <w:rPr>
                <w:sz w:val="24"/>
              </w:rPr>
            </w:pPr>
          </w:p>
          <w:p w14:paraId="605C29B4" w14:textId="43A21429" w:rsidR="0049251F" w:rsidRDefault="004047FD">
            <w:pPr>
              <w:rPr>
                <w:sz w:val="24"/>
              </w:rPr>
            </w:pPr>
            <w:r>
              <w:rPr>
                <w:sz w:val="24"/>
              </w:rPr>
              <w:t>Alle MA des Unternehmens in QM</w:t>
            </w:r>
            <w:r w:rsidR="00F90408">
              <w:rPr>
                <w:sz w:val="24"/>
              </w:rPr>
              <w:t>-</w:t>
            </w:r>
            <w:r>
              <w:rPr>
                <w:sz w:val="24"/>
              </w:rPr>
              <w:t xml:space="preserve"> oder GDP-relevanten Themen</w:t>
            </w:r>
          </w:p>
          <w:p w14:paraId="4AB8DB72" w14:textId="77777777" w:rsidR="004047FD" w:rsidRDefault="004047FD">
            <w:pPr>
              <w:rPr>
                <w:sz w:val="24"/>
              </w:rPr>
            </w:pPr>
          </w:p>
        </w:tc>
      </w:tr>
      <w:tr w:rsidR="0049251F" w14:paraId="4B6DDB71" w14:textId="77777777">
        <w:tc>
          <w:tcPr>
            <w:tcW w:w="3528" w:type="dxa"/>
            <w:tcBorders>
              <w:left w:val="single" w:sz="4" w:space="0" w:color="auto"/>
            </w:tcBorders>
          </w:tcPr>
          <w:p w14:paraId="712C2ACF" w14:textId="77777777" w:rsidR="0049251F" w:rsidRPr="00262206" w:rsidRDefault="006C1512">
            <w:pPr>
              <w:rPr>
                <w:b/>
                <w:color w:val="004B96"/>
                <w:sz w:val="24"/>
              </w:rPr>
            </w:pPr>
            <w:r w:rsidRPr="00262206">
              <w:rPr>
                <w:b/>
                <w:color w:val="004B96"/>
                <w:sz w:val="24"/>
              </w:rPr>
              <w:t>Stellvertretung durch:</w:t>
            </w: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14:paraId="3AB0FE52" w14:textId="77777777" w:rsidR="0049251F" w:rsidRDefault="006A54AB" w:rsidP="00491982">
            <w:pPr>
              <w:rPr>
                <w:sz w:val="24"/>
              </w:rPr>
            </w:pPr>
            <w:r>
              <w:rPr>
                <w:sz w:val="24"/>
              </w:rPr>
              <w:t>stellvertretende Verantwortliche Person nach GDP</w:t>
            </w:r>
          </w:p>
          <w:p w14:paraId="46732C0D" w14:textId="3BEC3B64" w:rsidR="006A54AB" w:rsidRDefault="006A54AB" w:rsidP="00D3097B">
            <w:pPr>
              <w:pStyle w:val="kKommentar"/>
            </w:pPr>
            <w:r>
              <w:t xml:space="preserve">Die Stellvertretung sollte als solche benannt sein und diese Stellenbeschreibung kennen und befolgen. </w:t>
            </w:r>
            <w:r w:rsidR="00D3097B">
              <w:t xml:space="preserve">Eine eigene Stellenbeschreibung „Stellvertretende Verantwortliche Person nach GDP“ ist ebenfalls denkbar. </w:t>
            </w:r>
            <w:r>
              <w:t>Das Unternehmen hat auch die Möglichkeit</w:t>
            </w:r>
            <w:r w:rsidR="00F90408">
              <w:t>,</w:t>
            </w:r>
            <w:r>
              <w:t xml:space="preserve"> mehrere Verantwortliche Personen nach GDP zu benennen, die sich gegenseitig vertreten. </w:t>
            </w:r>
          </w:p>
        </w:tc>
      </w:tr>
      <w:tr w:rsidR="0049251F" w14:paraId="57BDC53B" w14:textId="77777777"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14:paraId="50886D65" w14:textId="77777777" w:rsidR="00FB62CC" w:rsidRPr="00262206" w:rsidRDefault="00FB62CC">
            <w:pPr>
              <w:rPr>
                <w:b/>
                <w:color w:val="004B96"/>
                <w:sz w:val="24"/>
              </w:rPr>
            </w:pPr>
          </w:p>
          <w:p w14:paraId="1CD99263" w14:textId="77777777" w:rsidR="0049251F" w:rsidRPr="00262206" w:rsidRDefault="006C1512">
            <w:pPr>
              <w:rPr>
                <w:b/>
                <w:color w:val="004B96"/>
                <w:sz w:val="24"/>
              </w:rPr>
            </w:pPr>
            <w:r w:rsidRPr="00262206">
              <w:rPr>
                <w:b/>
                <w:color w:val="004B96"/>
                <w:sz w:val="24"/>
              </w:rPr>
              <w:t>Stellvertretung für:</w:t>
            </w:r>
          </w:p>
        </w:tc>
        <w:tc>
          <w:tcPr>
            <w:tcW w:w="6219" w:type="dxa"/>
            <w:tcBorders>
              <w:bottom w:val="single" w:sz="4" w:space="0" w:color="auto"/>
              <w:right w:val="single" w:sz="4" w:space="0" w:color="auto"/>
            </w:tcBorders>
          </w:tcPr>
          <w:p w14:paraId="61D19982" w14:textId="77777777" w:rsidR="00FB62CC" w:rsidRDefault="00FB62CC">
            <w:pPr>
              <w:rPr>
                <w:sz w:val="24"/>
              </w:rPr>
            </w:pPr>
          </w:p>
          <w:p w14:paraId="40FAFD3F" w14:textId="2F9804D2" w:rsidR="00FB62CC" w:rsidRDefault="001001CF">
            <w:pPr>
              <w:rPr>
                <w:sz w:val="24"/>
              </w:rPr>
            </w:pPr>
            <w:r>
              <w:rPr>
                <w:sz w:val="24"/>
              </w:rPr>
              <w:t>MA</w:t>
            </w:r>
            <w:r w:rsidR="0029425A">
              <w:rPr>
                <w:sz w:val="24"/>
              </w:rPr>
              <w:t xml:space="preserve"> der Qualitätssicherung </w:t>
            </w:r>
          </w:p>
          <w:p w14:paraId="77D23EBD" w14:textId="77777777" w:rsidR="0029425A" w:rsidRDefault="0029425A">
            <w:pPr>
              <w:rPr>
                <w:sz w:val="24"/>
              </w:rPr>
            </w:pPr>
          </w:p>
        </w:tc>
      </w:tr>
      <w:tr w:rsidR="0049251F" w14:paraId="158B6045" w14:textId="77777777" w:rsidTr="00855488">
        <w:tc>
          <w:tcPr>
            <w:tcW w:w="3528" w:type="dxa"/>
            <w:tcBorders>
              <w:bottom w:val="single" w:sz="4" w:space="0" w:color="auto"/>
            </w:tcBorders>
          </w:tcPr>
          <w:p w14:paraId="21632BA7" w14:textId="77777777" w:rsidR="0049251F" w:rsidRDefault="0049251F">
            <w:pPr>
              <w:rPr>
                <w:b/>
                <w:sz w:val="24"/>
              </w:rPr>
            </w:pP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748E637B" w14:textId="77777777" w:rsidR="0049251F" w:rsidRDefault="0049251F">
            <w:pPr>
              <w:rPr>
                <w:sz w:val="24"/>
              </w:rPr>
            </w:pPr>
          </w:p>
        </w:tc>
      </w:tr>
      <w:tr w:rsidR="001001CF" w14:paraId="53FE9CA1" w14:textId="77777777" w:rsidTr="0085548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7FC" w14:textId="77777777" w:rsidR="001001CF" w:rsidRDefault="001001CF" w:rsidP="001001CF">
            <w:pPr>
              <w:rPr>
                <w:b/>
                <w:color w:val="004B96"/>
                <w:sz w:val="24"/>
              </w:rPr>
            </w:pPr>
          </w:p>
          <w:p w14:paraId="61C04EFE" w14:textId="2B1FE0F9" w:rsidR="001001CF" w:rsidRPr="00262206" w:rsidRDefault="001001CF" w:rsidP="001001CF">
            <w:pPr>
              <w:rPr>
                <w:b/>
                <w:color w:val="004B96"/>
                <w:sz w:val="24"/>
              </w:rPr>
            </w:pPr>
            <w:r w:rsidRPr="00262206">
              <w:rPr>
                <w:b/>
                <w:color w:val="004B96"/>
                <w:sz w:val="24"/>
              </w:rPr>
              <w:t>Zielsetzung:</w:t>
            </w:r>
          </w:p>
          <w:p w14:paraId="29A35325" w14:textId="77777777" w:rsidR="001001CF" w:rsidRDefault="001001CF" w:rsidP="001001CF">
            <w:pPr>
              <w:rPr>
                <w:b/>
                <w:color w:val="003366"/>
                <w:sz w:val="24"/>
              </w:rPr>
            </w:pPr>
          </w:p>
          <w:p w14:paraId="79B9895B" w14:textId="77777777" w:rsidR="001001CF" w:rsidRDefault="001001CF" w:rsidP="001001C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Sicherstellung eines gesetzeskonformen und kundenorientierten Qualitäts-Niveaus innerhalb der Peither Logistik GmbH.</w:t>
            </w:r>
          </w:p>
          <w:p w14:paraId="5DD75CDF" w14:textId="42C22F42" w:rsidR="001001CF" w:rsidRDefault="001001CF" w:rsidP="001001C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Sicherstell</w:t>
            </w:r>
            <w:r w:rsidR="00855488">
              <w:rPr>
                <w:sz w:val="24"/>
              </w:rPr>
              <w:t>ung</w:t>
            </w:r>
            <w:r>
              <w:rPr>
                <w:sz w:val="24"/>
              </w:rPr>
              <w:t xml:space="preserve"> der adäquaten Umsetzung der GDP-Anforderungen (2013/C 343/01 und 2015/C 95/01) innerhalb des Unternehmens.</w:t>
            </w:r>
          </w:p>
          <w:p w14:paraId="2A12B7BF" w14:textId="77777777" w:rsidR="001001CF" w:rsidRDefault="001001CF" w:rsidP="001001C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Zentrale(r) Ansprechpartner(in) für behördliche Inspektionen</w:t>
            </w:r>
          </w:p>
          <w:p w14:paraId="2C0842FD" w14:textId="77777777" w:rsidR="001001CF" w:rsidDel="001001CF" w:rsidRDefault="001001CF">
            <w:pPr>
              <w:rPr>
                <w:b/>
                <w:color w:val="003366"/>
                <w:sz w:val="24"/>
              </w:rPr>
            </w:pPr>
          </w:p>
        </w:tc>
      </w:tr>
    </w:tbl>
    <w:p w14:paraId="5EE0F54B" w14:textId="77777777" w:rsidR="00855488" w:rsidRDefault="00855488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49251F" w14:paraId="17B76E57" w14:textId="77777777" w:rsidTr="004B24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22C" w14:textId="77777777" w:rsidR="0049251F" w:rsidRDefault="0049251F">
            <w:pPr>
              <w:rPr>
                <w:b/>
                <w:color w:val="003366"/>
                <w:sz w:val="24"/>
              </w:rPr>
            </w:pPr>
          </w:p>
          <w:p w14:paraId="4D131FD4" w14:textId="77777777" w:rsidR="0049251F" w:rsidRPr="00262206" w:rsidRDefault="006C1512">
            <w:pPr>
              <w:rPr>
                <w:b/>
                <w:color w:val="004B96"/>
                <w:sz w:val="24"/>
              </w:rPr>
            </w:pPr>
            <w:r w:rsidRPr="00262206">
              <w:rPr>
                <w:b/>
                <w:color w:val="004B96"/>
                <w:sz w:val="24"/>
              </w:rPr>
              <w:t>Verantwortungsbereiche:</w:t>
            </w:r>
          </w:p>
          <w:p w14:paraId="71B8ECCB" w14:textId="77777777" w:rsidR="0049251F" w:rsidRDefault="0049251F">
            <w:pPr>
              <w:rPr>
                <w:b/>
                <w:color w:val="003366"/>
                <w:sz w:val="24"/>
              </w:rPr>
            </w:pPr>
          </w:p>
          <w:p w14:paraId="5E610D59" w14:textId="278D11EF" w:rsidR="0049251F" w:rsidRDefault="00FB62CC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Die Leitung </w:t>
            </w:r>
            <w:r w:rsidR="0018116E">
              <w:rPr>
                <w:sz w:val="24"/>
              </w:rPr>
              <w:t>QM</w:t>
            </w:r>
            <w:r w:rsidR="006C1512">
              <w:rPr>
                <w:sz w:val="24"/>
              </w:rPr>
              <w:t xml:space="preserve"> ist die zentrale Person und </w:t>
            </w:r>
            <w:proofErr w:type="spellStart"/>
            <w:r w:rsidR="000E1C49">
              <w:rPr>
                <w:sz w:val="24"/>
              </w:rPr>
              <w:t>Ansprechpartner</w:t>
            </w:r>
            <w:r w:rsidR="00F90408">
              <w:rPr>
                <w:sz w:val="24"/>
              </w:rPr>
              <w:t>:</w:t>
            </w:r>
            <w:r w:rsidR="000E1C49">
              <w:rPr>
                <w:sz w:val="24"/>
              </w:rPr>
              <w:t>in</w:t>
            </w:r>
            <w:proofErr w:type="spellEnd"/>
            <w:r w:rsidR="000E1C49">
              <w:rPr>
                <w:sz w:val="24"/>
              </w:rPr>
              <w:t xml:space="preserve"> für alle Belange </w:t>
            </w:r>
            <w:r w:rsidR="006C1512">
              <w:rPr>
                <w:sz w:val="24"/>
              </w:rPr>
              <w:t xml:space="preserve">innerhalb </w:t>
            </w:r>
            <w:r w:rsidR="0018116E">
              <w:rPr>
                <w:sz w:val="24"/>
              </w:rPr>
              <w:t xml:space="preserve">des </w:t>
            </w:r>
            <w:r w:rsidR="00F90408">
              <w:rPr>
                <w:sz w:val="24"/>
              </w:rPr>
              <w:t>QM</w:t>
            </w:r>
            <w:r w:rsidR="006C1512">
              <w:rPr>
                <w:sz w:val="24"/>
              </w:rPr>
              <w:t xml:space="preserve">-Systems. </w:t>
            </w:r>
          </w:p>
          <w:p w14:paraId="4C49F4DC" w14:textId="294DC31E" w:rsidR="0049251F" w:rsidRDefault="006C1512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Gleichzeitig übernimmt </w:t>
            </w:r>
            <w:r w:rsidR="00520D24">
              <w:rPr>
                <w:sz w:val="24"/>
              </w:rPr>
              <w:t>die Leitung</w:t>
            </w:r>
            <w:r w:rsidR="00FB62CC">
              <w:rPr>
                <w:sz w:val="24"/>
              </w:rPr>
              <w:t xml:space="preserve"> </w:t>
            </w:r>
            <w:r w:rsidR="0018116E">
              <w:rPr>
                <w:sz w:val="24"/>
              </w:rPr>
              <w:t>QM</w:t>
            </w:r>
            <w:r>
              <w:rPr>
                <w:sz w:val="24"/>
              </w:rPr>
              <w:t xml:space="preserve"> die Funktion der „Verantwortlichen Person/</w:t>
            </w:r>
            <w:proofErr w:type="spellStart"/>
            <w:r>
              <w:rPr>
                <w:sz w:val="24"/>
              </w:rPr>
              <w:t>Responsible</w:t>
            </w:r>
            <w:proofErr w:type="spellEnd"/>
            <w:r>
              <w:rPr>
                <w:sz w:val="24"/>
              </w:rPr>
              <w:t xml:space="preserve"> Person“ nach GDP (2013/C 343/01</w:t>
            </w:r>
            <w:r w:rsidR="00F90408">
              <w:rPr>
                <w:sz w:val="24"/>
              </w:rPr>
              <w:t xml:space="preserve"> und</w:t>
            </w:r>
            <w:r w:rsidR="00520D24">
              <w:rPr>
                <w:sz w:val="24"/>
              </w:rPr>
              <w:t xml:space="preserve"> 2015/C 95/01)</w:t>
            </w:r>
            <w:r>
              <w:rPr>
                <w:sz w:val="24"/>
              </w:rPr>
              <w:t>.</w:t>
            </w:r>
          </w:p>
          <w:p w14:paraId="4C437A7B" w14:textId="5E4365F2" w:rsidR="0049251F" w:rsidRDefault="00FB62CC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Die Leitung Q</w:t>
            </w:r>
            <w:r w:rsidR="0018116E">
              <w:rPr>
                <w:sz w:val="24"/>
              </w:rPr>
              <w:t xml:space="preserve">M </w:t>
            </w:r>
            <w:r w:rsidR="006C1512">
              <w:rPr>
                <w:sz w:val="24"/>
              </w:rPr>
              <w:t>trägt als Leitungsmitglied und als Verantwortliche</w:t>
            </w:r>
            <w:r w:rsidR="00F90408">
              <w:rPr>
                <w:sz w:val="24"/>
              </w:rPr>
              <w:t>(</w:t>
            </w:r>
            <w:r w:rsidR="006C1512">
              <w:rPr>
                <w:sz w:val="24"/>
              </w:rPr>
              <w:t>r</w:t>
            </w:r>
            <w:r w:rsidR="00F90408">
              <w:rPr>
                <w:sz w:val="24"/>
              </w:rPr>
              <w:t>)</w:t>
            </w:r>
            <w:r w:rsidR="006C1512">
              <w:rPr>
                <w:sz w:val="24"/>
              </w:rPr>
              <w:t xml:space="preserve"> der obersten Leitung Sorge dafür, dass die </w:t>
            </w:r>
            <w:r w:rsidR="00B63945">
              <w:rPr>
                <w:sz w:val="24"/>
              </w:rPr>
              <w:t xml:space="preserve">Anforderungen </w:t>
            </w:r>
            <w:r w:rsidR="006C1512">
              <w:rPr>
                <w:sz w:val="24"/>
              </w:rPr>
              <w:t>der Qualitäts-Management-Norm</w:t>
            </w:r>
            <w:r w:rsidR="00B63945">
              <w:rPr>
                <w:sz w:val="24"/>
              </w:rPr>
              <w:t>en</w:t>
            </w:r>
            <w:r w:rsidR="006C1512">
              <w:rPr>
                <w:sz w:val="24"/>
              </w:rPr>
              <w:t xml:space="preserve"> DIN EN ISO 9001</w:t>
            </w:r>
            <w:r w:rsidR="00B63945">
              <w:rPr>
                <w:sz w:val="24"/>
              </w:rPr>
              <w:t xml:space="preserve"> und</w:t>
            </w:r>
            <w:r w:rsidR="006C1512">
              <w:rPr>
                <w:sz w:val="24"/>
              </w:rPr>
              <w:t xml:space="preserve"> DIN EN ISO 13485 sowie die gute Vertriebspraxis (GDP) </w:t>
            </w:r>
            <w:r w:rsidR="00491982">
              <w:rPr>
                <w:sz w:val="24"/>
              </w:rPr>
              <w:t xml:space="preserve">und wo erforderlich auch die gute Herstellungspraxis (GMP) </w:t>
            </w:r>
            <w:r w:rsidR="006C1512">
              <w:rPr>
                <w:sz w:val="24"/>
              </w:rPr>
              <w:t>gewissenhaft im Unternehmen umgesetzt werden.</w:t>
            </w:r>
          </w:p>
          <w:p w14:paraId="53BEA35D" w14:textId="40C1138C" w:rsidR="0049251F" w:rsidRDefault="00FB62CC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Die Leitung Q</w:t>
            </w:r>
            <w:r w:rsidR="0018116E">
              <w:rPr>
                <w:sz w:val="24"/>
              </w:rPr>
              <w:t>M</w:t>
            </w:r>
            <w:r>
              <w:rPr>
                <w:sz w:val="24"/>
              </w:rPr>
              <w:t xml:space="preserve"> </w:t>
            </w:r>
            <w:r w:rsidR="006C1512">
              <w:rPr>
                <w:sz w:val="24"/>
              </w:rPr>
              <w:t xml:space="preserve">kann bestimmte Aufgaben delegieren, nicht aber </w:t>
            </w:r>
            <w:r w:rsidR="000E1C49">
              <w:rPr>
                <w:sz w:val="24"/>
              </w:rPr>
              <w:t xml:space="preserve">ihre </w:t>
            </w:r>
            <w:r w:rsidR="006C1512">
              <w:rPr>
                <w:sz w:val="24"/>
              </w:rPr>
              <w:t>Verantwortung.</w:t>
            </w:r>
          </w:p>
          <w:p w14:paraId="0A20392A" w14:textId="77777777" w:rsidR="00855488" w:rsidRDefault="006A54AB" w:rsidP="00380124">
            <w:pPr>
              <w:pStyle w:val="kKommentar"/>
            </w:pPr>
            <w:r>
              <w:t xml:space="preserve">Siehe Praxiswissen </w:t>
            </w:r>
            <w:proofErr w:type="spellStart"/>
            <w:proofErr w:type="gramStart"/>
            <w:r>
              <w:t>GMP:Knowhow</w:t>
            </w:r>
            <w:proofErr w:type="spellEnd"/>
            <w:proofErr w:type="gramEnd"/>
            <w:r>
              <w:t xml:space="preserve"> Pharmalogistik Kapitel 2.2 Verantwortliche Person</w:t>
            </w:r>
            <w:r w:rsidR="00855488">
              <w:t>:</w:t>
            </w:r>
          </w:p>
          <w:p w14:paraId="5E16473A" w14:textId="37B5662F" w:rsidR="0049251F" w:rsidRDefault="006A54AB" w:rsidP="004B243C">
            <w:pPr>
              <w:pStyle w:val="kKommentar"/>
            </w:pPr>
            <w:r>
              <w:t>Hier ist tabellarisch aufgeführt, welche Verantwortung die Verantwortliche Person nach GDP bei einem Logistik-Dienstleister übernehmen kann</w:t>
            </w:r>
            <w:r w:rsidR="00B63945">
              <w:t>.</w:t>
            </w:r>
            <w:r>
              <w:t xml:space="preserve"> Je nach Verantwortungsabgrenzung mit dem Auftraggeber (pharmazeutisches Unternehmen) ist </w:t>
            </w:r>
            <w:r w:rsidR="00380124">
              <w:t>der Verantwortungsbereich entsprechend anzupassen.</w:t>
            </w:r>
          </w:p>
        </w:tc>
      </w:tr>
      <w:tr w:rsidR="009C1891" w14:paraId="2724C4F8" w14:textId="77777777" w:rsidTr="004B243C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456AA410" w14:textId="77777777" w:rsidR="009C1891" w:rsidDel="001001CF" w:rsidRDefault="009C1891">
            <w:pPr>
              <w:rPr>
                <w:b/>
                <w:color w:val="003366"/>
                <w:sz w:val="24"/>
              </w:rPr>
            </w:pPr>
          </w:p>
        </w:tc>
      </w:tr>
      <w:tr w:rsidR="001001CF" w14:paraId="7A5A2E6D" w14:textId="77777777" w:rsidTr="0085548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E39" w14:textId="77777777" w:rsidR="009C1891" w:rsidRDefault="009C1891" w:rsidP="001001CF">
            <w:pPr>
              <w:rPr>
                <w:b/>
                <w:color w:val="004B96"/>
                <w:sz w:val="24"/>
              </w:rPr>
            </w:pPr>
          </w:p>
          <w:p w14:paraId="44330AED" w14:textId="10474890" w:rsidR="001001CF" w:rsidRPr="00262206" w:rsidRDefault="00855488" w:rsidP="001001CF">
            <w:pPr>
              <w:rPr>
                <w:b/>
                <w:color w:val="004B96"/>
                <w:sz w:val="24"/>
              </w:rPr>
            </w:pPr>
            <w:r>
              <w:rPr>
                <w:b/>
                <w:color w:val="004B96"/>
                <w:sz w:val="24"/>
              </w:rPr>
              <w:t>Zuständigkeiten</w:t>
            </w:r>
            <w:r w:rsidR="001001CF" w:rsidRPr="00262206">
              <w:rPr>
                <w:b/>
                <w:color w:val="004B96"/>
                <w:sz w:val="24"/>
              </w:rPr>
              <w:t>:</w:t>
            </w:r>
          </w:p>
          <w:p w14:paraId="753707BA" w14:textId="77777777" w:rsidR="001001CF" w:rsidRDefault="001001CF" w:rsidP="001001CF">
            <w:pPr>
              <w:rPr>
                <w:sz w:val="24"/>
              </w:rPr>
            </w:pPr>
          </w:p>
          <w:p w14:paraId="5B305E68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Implementierung, Aufrechterhaltung und Weiterentwicklung des Qualitätssicherungssystems</w:t>
            </w:r>
          </w:p>
          <w:p w14:paraId="69A2B517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Konzentration auf die Durchführung genehmigter Tätigkeiten, sowie auf Genauigkeit und Qualität der Aufzeichnungen</w:t>
            </w:r>
          </w:p>
          <w:p w14:paraId="220A101E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Gewährleistung der Durchführung und Weiterführung der Aus- und Fortbildungsprogramme</w:t>
            </w:r>
          </w:p>
          <w:p w14:paraId="771923CA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Förderung des Bewusstseins über gesetzliche Anforderungen und Kundenanforderungen in der gesamten Organisation</w:t>
            </w:r>
          </w:p>
          <w:p w14:paraId="1A7EF4DF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Sicherstellung, dass einschlägige Kundenbeschwerden angemessen bearbeitet werden</w:t>
            </w:r>
          </w:p>
          <w:p w14:paraId="1384C57D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Sicherstellung, dass in angemessen regelmäßigen Abständen Selbstinspektionen nach einem vorab festgelegten Programm durchgeführt und die erforderlichen Korrekturmaßnahmen ergriffen werden</w:t>
            </w:r>
          </w:p>
          <w:p w14:paraId="73EB15A4" w14:textId="19B77077" w:rsidR="001001CF" w:rsidRPr="009C1891" w:rsidRDefault="001001CF" w:rsidP="000D5B3C">
            <w:pPr>
              <w:pStyle w:val="Listenabsatz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9C1891">
              <w:rPr>
                <w:sz w:val="24"/>
              </w:rPr>
              <w:t>Führen angemessener Aufzeichnungen über sämtliche delegierte Aufgaben.</w:t>
            </w:r>
          </w:p>
          <w:p w14:paraId="05A732F2" w14:textId="77777777" w:rsidR="001001CF" w:rsidRPr="00262206" w:rsidRDefault="001001CF" w:rsidP="001001CF">
            <w:pPr>
              <w:rPr>
                <w:b/>
                <w:color w:val="004B96"/>
                <w:sz w:val="24"/>
              </w:rPr>
            </w:pPr>
          </w:p>
        </w:tc>
      </w:tr>
    </w:tbl>
    <w:p w14:paraId="0126DDDA" w14:textId="77777777" w:rsidR="009C1891" w:rsidRDefault="009C1891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219"/>
      </w:tblGrid>
      <w:tr w:rsidR="001001CF" w14:paraId="1366EC4E" w14:textId="77777777" w:rsidTr="004B243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F115" w14:textId="77777777" w:rsidR="009C1891" w:rsidRDefault="009C1891" w:rsidP="001001CF">
            <w:pPr>
              <w:rPr>
                <w:b/>
                <w:color w:val="004B96"/>
                <w:sz w:val="24"/>
              </w:rPr>
            </w:pPr>
          </w:p>
          <w:p w14:paraId="568F31A3" w14:textId="193DD471" w:rsidR="001001CF" w:rsidRDefault="000D5B3C" w:rsidP="001001CF">
            <w:pPr>
              <w:rPr>
                <w:b/>
                <w:color w:val="003366"/>
                <w:sz w:val="24"/>
              </w:rPr>
            </w:pPr>
            <w:r w:rsidRPr="000D5B3C">
              <w:rPr>
                <w:b/>
                <w:color w:val="004B96"/>
                <w:sz w:val="24"/>
              </w:rPr>
              <w:t xml:space="preserve">Verantwortungsabgrenzung </w:t>
            </w:r>
            <w:proofErr w:type="spellStart"/>
            <w:r w:rsidRPr="000D5B3C">
              <w:rPr>
                <w:b/>
                <w:color w:val="004B96"/>
                <w:sz w:val="24"/>
              </w:rPr>
              <w:t>GxP</w:t>
            </w:r>
            <w:proofErr w:type="spellEnd"/>
            <w:r w:rsidRPr="000D5B3C">
              <w:rPr>
                <w:b/>
                <w:color w:val="004B96"/>
                <w:sz w:val="24"/>
              </w:rPr>
              <w:t>-relevanter Prozesse mit dem Kunden</w:t>
            </w:r>
            <w:r w:rsidR="001001CF">
              <w:rPr>
                <w:b/>
                <w:sz w:val="24"/>
              </w:rPr>
              <w:t>:</w:t>
            </w:r>
          </w:p>
          <w:p w14:paraId="4E703027" w14:textId="77777777" w:rsidR="001001CF" w:rsidRDefault="001001CF" w:rsidP="001001CF">
            <w:pPr>
              <w:rPr>
                <w:sz w:val="24"/>
              </w:rPr>
            </w:pPr>
          </w:p>
          <w:p w14:paraId="40F41E43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Koordination und unmittelbare Durchführung jeglicher Arzneimittel-Rückrufaktion</w:t>
            </w:r>
          </w:p>
          <w:p w14:paraId="7039BEDD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Koordination und Bearbeitung von Rückrufen bei Medizinprodukten</w:t>
            </w:r>
          </w:p>
          <w:p w14:paraId="725C0BE9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Genehmigung von Zulieferern und Kunden</w:t>
            </w:r>
          </w:p>
          <w:p w14:paraId="5041CB93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Genehmigung aller ausgelagerten Tätigkeiten, die Auswirkungen auf die gute Vertriebspraxis haben könnten</w:t>
            </w:r>
          </w:p>
          <w:p w14:paraId="072BAFD5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Entscheidung über den endgültigen Verbleib zurückgegebener, zurückgewiesener, zurückgerufener oder gefälschter Arzneimittel und Medizinprodukte</w:t>
            </w:r>
          </w:p>
          <w:p w14:paraId="3205214C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Genehmigung sämtlicher Wiederaufnahmen in den verkaufsfähigen Bestand</w:t>
            </w:r>
          </w:p>
          <w:p w14:paraId="09DB2CD1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Gewährleistung, dass alle in den nationalen Rechtsvorschriften festgelegten zusätzlichen Auflagen für bestimmte Produkte eingehalten werden</w:t>
            </w:r>
          </w:p>
          <w:p w14:paraId="3852F6FD" w14:textId="77777777" w:rsidR="001001CF" w:rsidRDefault="001001CF" w:rsidP="001001CF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Freigabe von Lohnbearbeitungsaufträgen bei Medizinprodukten</w:t>
            </w:r>
          </w:p>
          <w:p w14:paraId="0EEC1ED1" w14:textId="77777777" w:rsidR="001001CF" w:rsidDel="001001CF" w:rsidRDefault="001001CF">
            <w:pPr>
              <w:rPr>
                <w:b/>
                <w:color w:val="003366"/>
                <w:sz w:val="24"/>
              </w:rPr>
            </w:pPr>
          </w:p>
        </w:tc>
      </w:tr>
      <w:tr w:rsidR="009C1891" w14:paraId="4C6CFBE0" w14:textId="77777777" w:rsidTr="004B243C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37EC32" w14:textId="77777777" w:rsidR="009C1891" w:rsidRDefault="009C1891" w:rsidP="001001CF">
            <w:pPr>
              <w:rPr>
                <w:b/>
                <w:color w:val="004B96"/>
                <w:sz w:val="24"/>
              </w:rPr>
            </w:pPr>
          </w:p>
        </w:tc>
      </w:tr>
      <w:tr w:rsidR="001001CF" w14:paraId="699AF51A" w14:textId="77777777" w:rsidTr="004B243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DA1" w14:textId="77777777" w:rsidR="009C1891" w:rsidRDefault="009C1891" w:rsidP="001001CF">
            <w:pPr>
              <w:rPr>
                <w:b/>
                <w:color w:val="004B96"/>
                <w:sz w:val="24"/>
              </w:rPr>
            </w:pPr>
          </w:p>
          <w:p w14:paraId="7007287D" w14:textId="35B69336" w:rsidR="001001CF" w:rsidRPr="00262206" w:rsidRDefault="001001CF" w:rsidP="001001CF">
            <w:pPr>
              <w:rPr>
                <w:b/>
                <w:color w:val="004B96"/>
                <w:sz w:val="24"/>
              </w:rPr>
            </w:pPr>
            <w:r w:rsidRPr="00262206">
              <w:rPr>
                <w:b/>
                <w:color w:val="004B96"/>
                <w:sz w:val="24"/>
              </w:rPr>
              <w:t>Hauptaufgaben:</w:t>
            </w:r>
          </w:p>
          <w:p w14:paraId="5DA94303" w14:textId="77777777" w:rsidR="001001CF" w:rsidRDefault="001001CF" w:rsidP="001001CF">
            <w:pPr>
              <w:rPr>
                <w:b/>
                <w:color w:val="003366"/>
                <w:sz w:val="24"/>
              </w:rPr>
            </w:pPr>
          </w:p>
          <w:p w14:paraId="417CB0D1" w14:textId="05DD46F3" w:rsidR="001001CF" w:rsidRDefault="001001CF" w:rsidP="001001C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Übernahme der Rolle der „Verantwortlichen Person / </w:t>
            </w:r>
            <w:proofErr w:type="spellStart"/>
            <w:r>
              <w:rPr>
                <w:sz w:val="24"/>
              </w:rPr>
              <w:t>Responsible</w:t>
            </w:r>
            <w:proofErr w:type="spellEnd"/>
            <w:r>
              <w:rPr>
                <w:sz w:val="24"/>
              </w:rPr>
              <w:t xml:space="preserve"> Person“ nach GDP (2013/C 343/01 und 2015/C 95/01)</w:t>
            </w:r>
          </w:p>
          <w:p w14:paraId="67981CE3" w14:textId="747376CA" w:rsidR="001001CF" w:rsidRDefault="001001CF" w:rsidP="001001C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Sicherstellung, dass die Prozesse zur Einführung, Realisierung und Aufrechterhaltung des Qualitätsmanagementsystems gemäß der DIN EN ISO 9001 und DIN EN ISO 13485 durchgeführt werden können</w:t>
            </w:r>
          </w:p>
          <w:p w14:paraId="7A1E421F" w14:textId="77AE5C0C" w:rsidR="001001CF" w:rsidRPr="00855488" w:rsidRDefault="001001CF" w:rsidP="00855488">
            <w:pPr>
              <w:ind w:left="720"/>
              <w:rPr>
                <w:i/>
                <w:sz w:val="24"/>
              </w:rPr>
            </w:pPr>
            <w:r>
              <w:rPr>
                <w:sz w:val="24"/>
              </w:rPr>
              <w:t xml:space="preserve">Durchführung aller erforderlichen QM-Maßnahmen gemäß </w:t>
            </w:r>
            <w:proofErr w:type="spellStart"/>
            <w:r>
              <w:rPr>
                <w:sz w:val="24"/>
              </w:rPr>
              <w:t>GxP</w:t>
            </w:r>
            <w:proofErr w:type="spellEnd"/>
            <w:r w:rsidR="00855488">
              <w:rPr>
                <w:sz w:val="24"/>
              </w:rPr>
              <w:br/>
            </w:r>
            <w:r w:rsidR="000D5B3C">
              <w:rPr>
                <w:i/>
                <w:sz w:val="24"/>
              </w:rPr>
              <w:t xml:space="preserve">Hinweis: </w:t>
            </w:r>
            <w:r w:rsidRPr="00855488">
              <w:rPr>
                <w:i/>
                <w:sz w:val="24"/>
              </w:rPr>
              <w:t>Die Aufgaben sind so auszuführen, dass die Einhaltung der guten Vertriebspraxis (GDP) und wo erforderlich auch der guten Herstellungspraxis (GMP) nachgewiesen werden kann und dass die gemeinwirtschaftlichen Verpflichtungen erfüllt werden</w:t>
            </w:r>
            <w:r w:rsidR="00855488">
              <w:rPr>
                <w:i/>
                <w:sz w:val="24"/>
              </w:rPr>
              <w:t>.</w:t>
            </w:r>
          </w:p>
          <w:p w14:paraId="75DB9978" w14:textId="03C0C01C" w:rsidR="001001CF" w:rsidRDefault="001001CF" w:rsidP="001001C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Koordination aller Maßnahmen und Aktivitäten zur Verbesserung des QM-Systems und Kontrolle der Umsetzung</w:t>
            </w:r>
          </w:p>
          <w:p w14:paraId="049B7454" w14:textId="3CDC8E6C" w:rsidR="001001CF" w:rsidRDefault="001001CF" w:rsidP="001001C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Erstellung eines jährlichen </w:t>
            </w:r>
            <w:proofErr w:type="spellStart"/>
            <w:r>
              <w:rPr>
                <w:sz w:val="24"/>
              </w:rPr>
              <w:t>G</w:t>
            </w:r>
            <w:r w:rsidR="000D5B3C">
              <w:rPr>
                <w:sz w:val="24"/>
              </w:rPr>
              <w:t>x</w:t>
            </w:r>
            <w:r>
              <w:rPr>
                <w:sz w:val="24"/>
              </w:rPr>
              <w:t>P</w:t>
            </w:r>
            <w:proofErr w:type="spellEnd"/>
            <w:r>
              <w:rPr>
                <w:sz w:val="24"/>
              </w:rPr>
              <w:t>-Masterplans für die Peither Logistik GmbH zur Erreichung der Qualitätsziele</w:t>
            </w:r>
          </w:p>
          <w:p w14:paraId="5ACA6500" w14:textId="770E3436" w:rsidR="001001CF" w:rsidRDefault="000D5B3C" w:rsidP="001001C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Regelmäßige Berichterstattung an die </w:t>
            </w:r>
            <w:r w:rsidR="001001CF">
              <w:rPr>
                <w:sz w:val="24"/>
              </w:rPr>
              <w:t>Geschäftsführung (Management) über die Leistung des QM-Systems und die Notwendigkeit für Verbesserungen</w:t>
            </w:r>
          </w:p>
          <w:p w14:paraId="21918A77" w14:textId="139267F0" w:rsidR="001001CF" w:rsidRDefault="001001CF" w:rsidP="001001C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Erfassung, Untersuchung und Auswertung von Schwachstellen sowie Einleitung und Überwachung von Korrektur-Maßnahmen</w:t>
            </w:r>
          </w:p>
          <w:p w14:paraId="6779CC6C" w14:textId="72AA2BD7" w:rsidR="001001CF" w:rsidRDefault="001001CF" w:rsidP="001001C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Überwachung und Kontrolle von CAPA, inklusive Abweichungs- und Risikomanagement</w:t>
            </w:r>
          </w:p>
          <w:p w14:paraId="46A4393B" w14:textId="006EC5C7" w:rsidR="001001CF" w:rsidRDefault="001001CF" w:rsidP="001001C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offizielle Vertretung der Peither Logistik GmbH gegenüber Behörden und externen Kunden in Fragen des Qualitäts-Managements</w:t>
            </w:r>
          </w:p>
          <w:p w14:paraId="253458CA" w14:textId="1836A55B" w:rsidR="001001CF" w:rsidRPr="00855488" w:rsidRDefault="000D5B3C" w:rsidP="00855488">
            <w:pPr>
              <w:ind w:left="7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Hinweis: </w:t>
            </w:r>
            <w:r w:rsidR="009C1891" w:rsidRPr="00855488">
              <w:rPr>
                <w:i/>
                <w:sz w:val="24"/>
              </w:rPr>
              <w:t>D</w:t>
            </w:r>
            <w:r w:rsidR="001001CF" w:rsidRPr="00855488">
              <w:rPr>
                <w:i/>
                <w:sz w:val="24"/>
              </w:rPr>
              <w:t>ie Leitung QM trägt Sorge dafür, die Kunden</w:t>
            </w:r>
            <w:r w:rsidR="009B5BD5">
              <w:rPr>
                <w:i/>
                <w:sz w:val="24"/>
              </w:rPr>
              <w:t>- und Behörden</w:t>
            </w:r>
            <w:r w:rsidR="001001CF" w:rsidRPr="00855488">
              <w:rPr>
                <w:i/>
                <w:sz w:val="24"/>
              </w:rPr>
              <w:t>anforderungen in Bezug auf Qualität in das Bewusstsein des gesamten Unternehmens einzubringen</w:t>
            </w:r>
          </w:p>
          <w:p w14:paraId="643EF461" w14:textId="19F87B35" w:rsidR="001001CF" w:rsidRDefault="001001CF" w:rsidP="001001C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Durchführ</w:t>
            </w:r>
            <w:r w:rsidR="00855488">
              <w:rPr>
                <w:sz w:val="24"/>
              </w:rPr>
              <w:t>ung</w:t>
            </w:r>
            <w:r>
              <w:rPr>
                <w:sz w:val="24"/>
              </w:rPr>
              <w:t xml:space="preserve"> von internen und externen Audits</w:t>
            </w:r>
          </w:p>
          <w:p w14:paraId="2F1881CF" w14:textId="59196E1B" w:rsidR="009C1891" w:rsidRDefault="00855488" w:rsidP="001001CF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Verantwortung für</w:t>
            </w:r>
          </w:p>
          <w:p w14:paraId="5E321384" w14:textId="12FCF7D0" w:rsidR="001001CF" w:rsidRDefault="001001CF" w:rsidP="000D5B3C">
            <w:pPr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die Inhalte des QM-Handbuchs</w:t>
            </w:r>
          </w:p>
          <w:p w14:paraId="42238678" w14:textId="3FA1F8CC" w:rsidR="001001CF" w:rsidRDefault="001001CF" w:rsidP="000D5B3C">
            <w:pPr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die Genehmigung von SOPs mit </w:t>
            </w:r>
            <w:proofErr w:type="spellStart"/>
            <w:r>
              <w:rPr>
                <w:sz w:val="24"/>
              </w:rPr>
              <w:t>GxP</w:t>
            </w:r>
            <w:proofErr w:type="spellEnd"/>
            <w:r>
              <w:rPr>
                <w:sz w:val="24"/>
              </w:rPr>
              <w:t>-Relevanz</w:t>
            </w:r>
          </w:p>
          <w:p w14:paraId="67EA896D" w14:textId="43D27A22" w:rsidR="001001CF" w:rsidRDefault="001001CF" w:rsidP="000D5B3C">
            <w:pPr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die Zertifizierungs-Verfahren im Unternehmen</w:t>
            </w:r>
          </w:p>
          <w:p w14:paraId="13A2DA3C" w14:textId="77777777" w:rsidR="001001CF" w:rsidDel="001001CF" w:rsidRDefault="001001CF">
            <w:pPr>
              <w:rPr>
                <w:b/>
                <w:color w:val="003366"/>
                <w:sz w:val="24"/>
              </w:rPr>
            </w:pPr>
          </w:p>
        </w:tc>
      </w:tr>
      <w:tr w:rsidR="009C1891" w14:paraId="7A72465C" w14:textId="77777777" w:rsidTr="004B243C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42E5AF" w14:textId="77777777" w:rsidR="009C1891" w:rsidRDefault="009C1891" w:rsidP="001001CF">
            <w:pPr>
              <w:rPr>
                <w:b/>
                <w:color w:val="004B96"/>
                <w:sz w:val="24"/>
              </w:rPr>
            </w:pPr>
          </w:p>
        </w:tc>
      </w:tr>
      <w:tr w:rsidR="001001CF" w14:paraId="31F426CA" w14:textId="77777777" w:rsidTr="004B243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742" w14:textId="77777777" w:rsidR="009C1891" w:rsidRDefault="009C1891" w:rsidP="001001CF">
            <w:pPr>
              <w:rPr>
                <w:b/>
                <w:color w:val="004B96"/>
                <w:sz w:val="24"/>
              </w:rPr>
            </w:pPr>
          </w:p>
          <w:p w14:paraId="5C8DCC1B" w14:textId="0D0224D2" w:rsidR="001001CF" w:rsidRPr="00262206" w:rsidRDefault="001001CF" w:rsidP="001001CF">
            <w:pPr>
              <w:rPr>
                <w:b/>
                <w:color w:val="004B96"/>
                <w:sz w:val="24"/>
              </w:rPr>
            </w:pPr>
            <w:r w:rsidRPr="00262206">
              <w:rPr>
                <w:b/>
                <w:color w:val="004B96"/>
                <w:sz w:val="24"/>
              </w:rPr>
              <w:t>Kompetenzen:</w:t>
            </w:r>
          </w:p>
          <w:p w14:paraId="46DBFC8D" w14:textId="77777777" w:rsidR="001001CF" w:rsidRDefault="001001CF" w:rsidP="001001CF">
            <w:pPr>
              <w:rPr>
                <w:b/>
                <w:color w:val="003366"/>
                <w:sz w:val="24"/>
              </w:rPr>
            </w:pPr>
          </w:p>
          <w:p w14:paraId="12D0A727" w14:textId="77777777" w:rsidR="001001CF" w:rsidRPr="00855488" w:rsidRDefault="001001CF" w:rsidP="00855488">
            <w:pPr>
              <w:numPr>
                <w:ilvl w:val="0"/>
                <w:numId w:val="4"/>
              </w:numPr>
              <w:rPr>
                <w:b/>
                <w:color w:val="003366"/>
                <w:sz w:val="24"/>
              </w:rPr>
            </w:pPr>
            <w:r>
              <w:rPr>
                <w:sz w:val="24"/>
              </w:rPr>
              <w:t xml:space="preserve">Weisungsbefugnis gegenüber den </w:t>
            </w:r>
            <w:proofErr w:type="spellStart"/>
            <w:proofErr w:type="gramStart"/>
            <w:r>
              <w:rPr>
                <w:sz w:val="24"/>
              </w:rPr>
              <w:t>Mitarbeiter:innen</w:t>
            </w:r>
            <w:proofErr w:type="spellEnd"/>
            <w:proofErr w:type="gramEnd"/>
            <w:r>
              <w:rPr>
                <w:sz w:val="24"/>
              </w:rPr>
              <w:t xml:space="preserve"> der Qualitätssicherung und in Bezug auf QM-Fragen gegenüber allen </w:t>
            </w:r>
            <w:proofErr w:type="spellStart"/>
            <w:r>
              <w:rPr>
                <w:sz w:val="24"/>
              </w:rPr>
              <w:t>Mitarbeiter:innen</w:t>
            </w:r>
            <w:proofErr w:type="spellEnd"/>
            <w:r>
              <w:rPr>
                <w:sz w:val="24"/>
              </w:rPr>
              <w:t>.</w:t>
            </w:r>
          </w:p>
          <w:p w14:paraId="2AF5C786" w14:textId="72892801" w:rsidR="00855488" w:rsidRPr="000D5B3C" w:rsidRDefault="00855488" w:rsidP="00855488"/>
        </w:tc>
      </w:tr>
      <w:tr w:rsidR="009C1891" w14:paraId="61BE6A43" w14:textId="77777777" w:rsidTr="004B243C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14:paraId="5610E8C3" w14:textId="77777777" w:rsidR="009C1891" w:rsidRDefault="009C1891" w:rsidP="001001CF">
            <w:pPr>
              <w:rPr>
                <w:b/>
                <w:color w:val="004B96"/>
                <w:sz w:val="24"/>
              </w:rPr>
            </w:pPr>
          </w:p>
        </w:tc>
      </w:tr>
      <w:tr w:rsidR="0049251F" w14:paraId="50A57FB5" w14:textId="77777777" w:rsidTr="004B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28" w:type="dxa"/>
            <w:tcBorders>
              <w:top w:val="single" w:sz="4" w:space="0" w:color="auto"/>
              <w:bottom w:val="nil"/>
            </w:tcBorders>
          </w:tcPr>
          <w:p w14:paraId="7310B327" w14:textId="77777777" w:rsidR="0049251F" w:rsidRDefault="0049251F">
            <w:pPr>
              <w:rPr>
                <w:b/>
                <w:color w:val="003366"/>
                <w:sz w:val="24"/>
              </w:rPr>
            </w:pPr>
          </w:p>
          <w:p w14:paraId="62B5DE2B" w14:textId="039EFB41" w:rsidR="0049251F" w:rsidRDefault="006C1512">
            <w:pPr>
              <w:rPr>
                <w:b/>
                <w:color w:val="003366"/>
                <w:sz w:val="24"/>
              </w:rPr>
            </w:pPr>
            <w:r w:rsidRPr="00262206">
              <w:rPr>
                <w:b/>
                <w:color w:val="004B96"/>
                <w:sz w:val="24"/>
              </w:rPr>
              <w:t xml:space="preserve">Teilnahme / Mitwirkung an Arbeitsgruppen: </w:t>
            </w:r>
            <w:r w:rsidR="004B243C">
              <w:rPr>
                <w:b/>
                <w:color w:val="004B96"/>
                <w:sz w:val="24"/>
              </w:rPr>
              <w:br/>
            </w:r>
            <w:r w:rsidRPr="00262206">
              <w:rPr>
                <w:b/>
                <w:color w:val="004B96"/>
                <w:sz w:val="24"/>
              </w:rPr>
              <w:t>Sitzungen, Gremien etc.:</w:t>
            </w:r>
          </w:p>
        </w:tc>
        <w:tc>
          <w:tcPr>
            <w:tcW w:w="6219" w:type="dxa"/>
            <w:tcBorders>
              <w:top w:val="single" w:sz="4" w:space="0" w:color="auto"/>
              <w:bottom w:val="nil"/>
            </w:tcBorders>
          </w:tcPr>
          <w:p w14:paraId="76191353" w14:textId="77777777" w:rsidR="0049251F" w:rsidRDefault="0049251F">
            <w:pPr>
              <w:rPr>
                <w:sz w:val="24"/>
              </w:rPr>
            </w:pPr>
          </w:p>
          <w:p w14:paraId="230B3741" w14:textId="5FBF6D89" w:rsidR="0049251F" w:rsidRDefault="001001CF">
            <w:pPr>
              <w:pStyle w:val="Listenabsatz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Or</w:t>
            </w:r>
            <w:r w:rsidR="006C1512">
              <w:rPr>
                <w:sz w:val="24"/>
              </w:rPr>
              <w:t>ganis</w:t>
            </w:r>
            <w:r>
              <w:rPr>
                <w:sz w:val="24"/>
              </w:rPr>
              <w:t>ation</w:t>
            </w:r>
            <w:r w:rsidR="006C1512">
              <w:rPr>
                <w:sz w:val="24"/>
              </w:rPr>
              <w:t xml:space="preserve"> de</w:t>
            </w:r>
            <w:r>
              <w:rPr>
                <w:sz w:val="24"/>
              </w:rPr>
              <w:t>r</w:t>
            </w:r>
            <w:r w:rsidR="006C1512">
              <w:rPr>
                <w:sz w:val="24"/>
              </w:rPr>
              <w:t xml:space="preserve"> regelmäßigen QM-Meetings</w:t>
            </w:r>
          </w:p>
          <w:p w14:paraId="00537E4D" w14:textId="03005B7D" w:rsidR="0049251F" w:rsidRDefault="006C1512">
            <w:pPr>
              <w:pStyle w:val="Listenabsatz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Mitwirk</w:t>
            </w:r>
            <w:r w:rsidR="001001CF">
              <w:rPr>
                <w:sz w:val="24"/>
              </w:rPr>
              <w:t>ung</w:t>
            </w:r>
            <w:r>
              <w:rPr>
                <w:sz w:val="24"/>
              </w:rPr>
              <w:t xml:space="preserve"> in Projektgruppen</w:t>
            </w:r>
          </w:p>
          <w:p w14:paraId="1E21009A" w14:textId="77777777" w:rsidR="0049251F" w:rsidRDefault="006C1512">
            <w:pPr>
              <w:pStyle w:val="Listenabsatz"/>
              <w:numPr>
                <w:ilvl w:val="1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überall dort, wo </w:t>
            </w:r>
            <w:proofErr w:type="spellStart"/>
            <w:r>
              <w:rPr>
                <w:sz w:val="24"/>
              </w:rPr>
              <w:t>GxP</w:t>
            </w:r>
            <w:proofErr w:type="spellEnd"/>
            <w:r>
              <w:rPr>
                <w:sz w:val="24"/>
              </w:rPr>
              <w:t>-relevante Fragestellungen betroffen sind</w:t>
            </w:r>
          </w:p>
          <w:p w14:paraId="7320E95D" w14:textId="77777777" w:rsidR="0049251F" w:rsidRDefault="006C1512">
            <w:pPr>
              <w:pStyle w:val="Listenabsatz"/>
              <w:numPr>
                <w:ilvl w:val="1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Unterstützung anderer Abteilungen bei Qualitätssicherungs-Aufgaben mittels qualitätstechnischer Methoden und Verfahren</w:t>
            </w:r>
          </w:p>
        </w:tc>
      </w:tr>
      <w:tr w:rsidR="0049251F" w14:paraId="1FA533B1" w14:textId="77777777" w:rsidTr="004B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5"/>
        </w:trPr>
        <w:tc>
          <w:tcPr>
            <w:tcW w:w="3528" w:type="dxa"/>
            <w:tcBorders>
              <w:top w:val="nil"/>
            </w:tcBorders>
          </w:tcPr>
          <w:p w14:paraId="2B741474" w14:textId="77777777" w:rsidR="009C1891" w:rsidRDefault="009C1891">
            <w:pPr>
              <w:rPr>
                <w:b/>
                <w:color w:val="004B96"/>
                <w:sz w:val="24"/>
              </w:rPr>
            </w:pPr>
          </w:p>
          <w:p w14:paraId="1577DF67" w14:textId="5E8B9230" w:rsidR="0049251F" w:rsidRPr="00262206" w:rsidRDefault="006C1512">
            <w:pPr>
              <w:rPr>
                <w:b/>
                <w:color w:val="004B96"/>
                <w:sz w:val="24"/>
              </w:rPr>
            </w:pPr>
            <w:r w:rsidRPr="00262206">
              <w:rPr>
                <w:b/>
                <w:color w:val="004B96"/>
                <w:sz w:val="24"/>
              </w:rPr>
              <w:t>Informationspflichten:</w:t>
            </w:r>
          </w:p>
          <w:p w14:paraId="32C220F3" w14:textId="77777777" w:rsidR="0049251F" w:rsidRPr="00262206" w:rsidRDefault="0049251F">
            <w:pPr>
              <w:rPr>
                <w:b/>
                <w:color w:val="004B96"/>
                <w:sz w:val="24"/>
              </w:rPr>
            </w:pPr>
          </w:p>
        </w:tc>
        <w:tc>
          <w:tcPr>
            <w:tcW w:w="6219" w:type="dxa"/>
          </w:tcPr>
          <w:p w14:paraId="7A1FFD9A" w14:textId="77777777" w:rsidR="009C1891" w:rsidRDefault="009C1891" w:rsidP="009C1891"/>
          <w:p w14:paraId="56F211E4" w14:textId="2202FD61" w:rsidR="0049251F" w:rsidRDefault="00916CA6" w:rsidP="004B243C">
            <w:pPr>
              <w:pStyle w:val="Listenabsatz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gegenüber </w:t>
            </w:r>
            <w:r w:rsidR="0018116E">
              <w:rPr>
                <w:sz w:val="24"/>
              </w:rPr>
              <w:t>Geschäftsführung</w:t>
            </w:r>
            <w:r>
              <w:rPr>
                <w:sz w:val="24"/>
              </w:rPr>
              <w:t xml:space="preserve">, </w:t>
            </w:r>
            <w:r w:rsidR="001001CF">
              <w:rPr>
                <w:sz w:val="24"/>
              </w:rPr>
              <w:t xml:space="preserve">MA </w:t>
            </w:r>
            <w:r w:rsidR="0018116E">
              <w:rPr>
                <w:sz w:val="24"/>
              </w:rPr>
              <w:t xml:space="preserve">der Qualitätssicherung </w:t>
            </w:r>
            <w:r w:rsidR="006C1512">
              <w:rPr>
                <w:sz w:val="24"/>
              </w:rPr>
              <w:t>und anderen MA bei Bedarf</w:t>
            </w:r>
            <w:r w:rsidR="004B243C">
              <w:rPr>
                <w:sz w:val="24"/>
              </w:rPr>
              <w:br/>
            </w:r>
          </w:p>
        </w:tc>
      </w:tr>
      <w:tr w:rsidR="0049251F" w14:paraId="33045F44" w14:textId="77777777" w:rsidTr="004B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28" w:type="dxa"/>
          </w:tcPr>
          <w:p w14:paraId="2DA11FD3" w14:textId="77777777" w:rsidR="009C1891" w:rsidRDefault="009C1891">
            <w:pPr>
              <w:rPr>
                <w:b/>
                <w:color w:val="004B96"/>
                <w:sz w:val="24"/>
              </w:rPr>
            </w:pPr>
          </w:p>
          <w:p w14:paraId="1FBCDB4E" w14:textId="1F4177E4" w:rsidR="0049251F" w:rsidRPr="00262206" w:rsidRDefault="006C1512">
            <w:pPr>
              <w:rPr>
                <w:b/>
                <w:color w:val="004B96"/>
                <w:sz w:val="24"/>
              </w:rPr>
            </w:pPr>
            <w:r w:rsidRPr="00262206">
              <w:rPr>
                <w:b/>
                <w:color w:val="004B96"/>
                <w:sz w:val="24"/>
              </w:rPr>
              <w:t>Informationsbedarf:</w:t>
            </w:r>
          </w:p>
        </w:tc>
        <w:tc>
          <w:tcPr>
            <w:tcW w:w="6219" w:type="dxa"/>
          </w:tcPr>
          <w:p w14:paraId="13718A8F" w14:textId="77777777" w:rsidR="009C1891" w:rsidRDefault="009C1891" w:rsidP="009C1891"/>
          <w:p w14:paraId="2B35F62F" w14:textId="3850EBC4" w:rsidR="0049251F" w:rsidRDefault="006C1512">
            <w:pPr>
              <w:pStyle w:val="Listenabsatz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aktuelle Informationen aus dem regulatorischen Umfeld</w:t>
            </w:r>
          </w:p>
          <w:p w14:paraId="5032416A" w14:textId="0519AE2E" w:rsidR="0049251F" w:rsidRDefault="006C1512" w:rsidP="0018116E">
            <w:pPr>
              <w:pStyle w:val="Listenabsatz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Informationen </w:t>
            </w:r>
            <w:r w:rsidR="0018116E">
              <w:rPr>
                <w:sz w:val="24"/>
              </w:rPr>
              <w:t>über beabsichtigte Änderungen</w:t>
            </w:r>
            <w:r w:rsidR="004B243C">
              <w:rPr>
                <w:sz w:val="24"/>
              </w:rPr>
              <w:br/>
            </w:r>
          </w:p>
        </w:tc>
      </w:tr>
    </w:tbl>
    <w:p w14:paraId="49C792C9" w14:textId="77777777" w:rsidR="0049251F" w:rsidRPr="00262206" w:rsidRDefault="006C1512">
      <w:pPr>
        <w:pStyle w:val="berschrift1"/>
        <w:numPr>
          <w:ilvl w:val="0"/>
          <w:numId w:val="0"/>
        </w:numPr>
        <w:rPr>
          <w:i/>
          <w:color w:val="004B96"/>
          <w:sz w:val="24"/>
          <w:szCs w:val="24"/>
        </w:rPr>
      </w:pPr>
      <w:r w:rsidRPr="00262206">
        <w:rPr>
          <w:i/>
          <w:color w:val="004B96"/>
          <w:sz w:val="24"/>
          <w:szCs w:val="24"/>
        </w:rPr>
        <w:t xml:space="preserve">Die Nachweisführung von Schulungsmaßnahmen erfolgt </w:t>
      </w:r>
      <w:r w:rsidR="009F596F" w:rsidRPr="00262206">
        <w:rPr>
          <w:i/>
          <w:color w:val="004B96"/>
          <w:sz w:val="24"/>
          <w:szCs w:val="24"/>
        </w:rPr>
        <w:t>über das interne Schulungssystem</w:t>
      </w:r>
    </w:p>
    <w:p w14:paraId="0857161E" w14:textId="77777777" w:rsidR="0049251F" w:rsidRDefault="0049251F">
      <w:pPr>
        <w:pStyle w:val="Kopfzeile"/>
        <w:tabs>
          <w:tab w:val="clear" w:pos="4536"/>
          <w:tab w:val="clear" w:pos="9072"/>
        </w:tabs>
        <w:rPr>
          <w:rFonts w:cs="Arial"/>
          <w:b/>
          <w:bCs/>
        </w:rPr>
      </w:pPr>
    </w:p>
    <w:sectPr w:rsidR="00492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6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8628" w14:textId="77777777" w:rsidR="00D94C33" w:rsidRDefault="00D94C33">
      <w:r>
        <w:separator/>
      </w:r>
    </w:p>
  </w:endnote>
  <w:endnote w:type="continuationSeparator" w:id="0">
    <w:p w14:paraId="3CC579DB" w14:textId="77777777" w:rsidR="00D94C33" w:rsidRDefault="00D9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0807" w14:textId="77777777" w:rsidR="00A23BD1" w:rsidRDefault="00A23B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C0D1" w14:textId="3A8FD035" w:rsidR="000D5B3C" w:rsidRPr="003E0BAE" w:rsidRDefault="000D5B3C" w:rsidP="003E0BAE">
    <w:pPr>
      <w:pStyle w:val="standard0"/>
    </w:pPr>
    <w:r>
      <w:t>2021</w:t>
    </w:r>
    <w:r w:rsidRPr="003B7704">
      <w:t xml:space="preserve"> © GMP-Verlag Peither AG </w:t>
    </w:r>
    <w:r w:rsidR="001E2D20">
      <w:tab/>
    </w:r>
    <w:proofErr w:type="spellStart"/>
    <w:proofErr w:type="gramStart"/>
    <w:r w:rsidR="001E2D20">
      <w:t>GMP:KnowHow</w:t>
    </w:r>
    <w:proofErr w:type="spellEnd"/>
    <w:proofErr w:type="gramEnd"/>
    <w:r w:rsidR="001E2D20">
      <w:t xml:space="preserve"> Pharmalogistik (GDP)</w:t>
    </w:r>
    <w:r w:rsidRPr="003B7704">
      <w:tab/>
    </w:r>
    <w:r w:rsidRPr="003B7704">
      <w:fldChar w:fldCharType="begin"/>
    </w:r>
    <w:r w:rsidRPr="003B7704">
      <w:instrText xml:space="preserve"> PAGE </w:instrText>
    </w:r>
    <w:r w:rsidRPr="003B7704">
      <w:fldChar w:fldCharType="separate"/>
    </w:r>
    <w:r w:rsidR="009B5BD5">
      <w:rPr>
        <w:noProof/>
      </w:rPr>
      <w:t>4</w:t>
    </w:r>
    <w:r w:rsidRPr="003B770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E70A" w14:textId="77777777" w:rsidR="00A23BD1" w:rsidRDefault="00A23B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D08B" w14:textId="77777777" w:rsidR="00D94C33" w:rsidRDefault="00D94C33">
      <w:r>
        <w:separator/>
      </w:r>
    </w:p>
  </w:footnote>
  <w:footnote w:type="continuationSeparator" w:id="0">
    <w:p w14:paraId="75274D89" w14:textId="77777777" w:rsidR="00D94C33" w:rsidRDefault="00D9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62B4" w14:textId="77777777" w:rsidR="00A23BD1" w:rsidRDefault="00A23B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7533" w14:textId="77777777" w:rsidR="000D5B3C" w:rsidRDefault="000D5B3C">
    <w:pPr>
      <w:pStyle w:val="Kopfzeile"/>
    </w:pPr>
  </w:p>
  <w:tbl>
    <w:tblPr>
      <w:tblStyle w:val="Kopftabelle"/>
      <w:tblW w:w="5000" w:type="pct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</w:tblBorders>
      <w:shd w:val="clear" w:color="auto" w:fill="C6D9F1"/>
      <w:tblLook w:val="0000" w:firstRow="0" w:lastRow="0" w:firstColumn="0" w:lastColumn="0" w:noHBand="0" w:noVBand="0"/>
    </w:tblPr>
    <w:tblGrid>
      <w:gridCol w:w="2206"/>
      <w:gridCol w:w="4955"/>
      <w:gridCol w:w="2683"/>
    </w:tblGrid>
    <w:tr w:rsidR="000D5B3C" w:rsidRPr="00CB4139" w14:paraId="3852715C" w14:textId="77777777" w:rsidTr="006A54AB">
      <w:tc>
        <w:tcPr>
          <w:tcW w:w="1120" w:type="pct"/>
        </w:tcPr>
        <w:p w14:paraId="1C9C02AA" w14:textId="77777777" w:rsidR="000D5B3C" w:rsidRPr="003B7704" w:rsidRDefault="000D5B3C" w:rsidP="003E0BAE">
          <w:pPr>
            <w:pStyle w:val="tTabelleText"/>
          </w:pPr>
          <w:r w:rsidRPr="00CB4139">
            <w:t>Peither</w:t>
          </w:r>
          <w:r w:rsidRPr="00CB4139">
            <w:br/>
          </w:r>
          <w:r>
            <w:t>Logistik</w:t>
          </w:r>
          <w:r w:rsidRPr="00CB4139">
            <w:t xml:space="preserve"> GmbH</w:t>
          </w:r>
        </w:p>
      </w:tc>
      <w:tc>
        <w:tcPr>
          <w:tcW w:w="2517" w:type="pct"/>
        </w:tcPr>
        <w:p w14:paraId="281F0522" w14:textId="77777777" w:rsidR="000D5B3C" w:rsidRPr="00A23BD1" w:rsidRDefault="000D5B3C" w:rsidP="003E0BAE">
          <w:pPr>
            <w:pStyle w:val="tTabelleText"/>
            <w:rPr>
              <w:b/>
              <w:bCs/>
            </w:rPr>
          </w:pPr>
          <w:r w:rsidRPr="00A23BD1">
            <w:rPr>
              <w:b/>
              <w:bCs/>
            </w:rPr>
            <w:t>Stellenbeschreibung</w:t>
          </w:r>
        </w:p>
      </w:tc>
      <w:tc>
        <w:tcPr>
          <w:tcW w:w="1363" w:type="pct"/>
        </w:tcPr>
        <w:p w14:paraId="4914A6DE" w14:textId="781E670D" w:rsidR="000D5B3C" w:rsidRPr="003B7704" w:rsidRDefault="000D5B3C" w:rsidP="003E0BAE">
          <w:pPr>
            <w:pStyle w:val="tTabelleText"/>
          </w:pPr>
          <w:r w:rsidRPr="00CB4139">
            <w:t xml:space="preserve">Seite </w:t>
          </w:r>
          <w:r w:rsidRPr="003B7704">
            <w:fldChar w:fldCharType="begin"/>
          </w:r>
          <w:r w:rsidRPr="003B7704">
            <w:instrText xml:space="preserve"> PAGE  \* Arabic  \* MERGEFORMAT </w:instrText>
          </w:r>
          <w:r w:rsidRPr="003B7704">
            <w:fldChar w:fldCharType="separate"/>
          </w:r>
          <w:r w:rsidR="009B5BD5">
            <w:rPr>
              <w:noProof/>
            </w:rPr>
            <w:t>4</w:t>
          </w:r>
          <w:r w:rsidRPr="003B7704">
            <w:fldChar w:fldCharType="end"/>
          </w:r>
          <w:r w:rsidRPr="003B7704">
            <w:t xml:space="preserve"> von </w:t>
          </w:r>
          <w:r w:rsidR="00D94C33">
            <w:fldChar w:fldCharType="begin"/>
          </w:r>
          <w:r w:rsidR="00D94C33">
            <w:instrText xml:space="preserve"> NUMPAGES  \* Arabic  \* MERGEFORMAT </w:instrText>
          </w:r>
          <w:r w:rsidR="00D94C33">
            <w:fldChar w:fldCharType="separate"/>
          </w:r>
          <w:r w:rsidR="009B5BD5">
            <w:rPr>
              <w:noProof/>
            </w:rPr>
            <w:t>4</w:t>
          </w:r>
          <w:r w:rsidR="00D94C33">
            <w:rPr>
              <w:noProof/>
            </w:rPr>
            <w:fldChar w:fldCharType="end"/>
          </w:r>
        </w:p>
      </w:tc>
    </w:tr>
    <w:tr w:rsidR="000D5B3C" w:rsidRPr="00CB4139" w14:paraId="7A3BDABB" w14:textId="77777777" w:rsidTr="006A54AB">
      <w:trPr>
        <w:trHeight w:val="433"/>
      </w:trPr>
      <w:tc>
        <w:tcPr>
          <w:tcW w:w="1120" w:type="pct"/>
        </w:tcPr>
        <w:p w14:paraId="4DD3A0AD" w14:textId="77777777" w:rsidR="000D5B3C" w:rsidRPr="003B7704" w:rsidRDefault="000D5B3C" w:rsidP="003E0BAE">
          <w:pPr>
            <w:pStyle w:val="tTabelleText"/>
          </w:pPr>
          <w:r>
            <w:t>STB-220-001-01</w:t>
          </w:r>
        </w:p>
      </w:tc>
      <w:tc>
        <w:tcPr>
          <w:tcW w:w="2517" w:type="pct"/>
        </w:tcPr>
        <w:p w14:paraId="4AC7E6E9" w14:textId="77777777" w:rsidR="000D5B3C" w:rsidRPr="003B7704" w:rsidRDefault="000D5B3C" w:rsidP="003E0BAE">
          <w:pPr>
            <w:pStyle w:val="tTabelleText"/>
          </w:pPr>
          <w:r>
            <w:t>Leitung Qualitätsmanagement / Verantwortliche Person nach GDP</w:t>
          </w:r>
        </w:p>
      </w:tc>
      <w:tc>
        <w:tcPr>
          <w:tcW w:w="1363" w:type="pct"/>
        </w:tcPr>
        <w:p w14:paraId="71F25F38" w14:textId="77777777" w:rsidR="000D5B3C" w:rsidRPr="003B7704" w:rsidRDefault="000D5B3C" w:rsidP="003E0BAE">
          <w:pPr>
            <w:pStyle w:val="tTabelleText"/>
          </w:pPr>
          <w:r>
            <w:t>Gültig ab:</w:t>
          </w:r>
          <w:r>
            <w:br/>
          </w:r>
          <w:r w:rsidRPr="003B7704">
            <w:t>xx.yy.20zz</w:t>
          </w:r>
        </w:p>
      </w:tc>
    </w:tr>
  </w:tbl>
  <w:p w14:paraId="65432DA5" w14:textId="77777777" w:rsidR="000D5B3C" w:rsidRDefault="000D5B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B59" w14:textId="77777777" w:rsidR="00A23BD1" w:rsidRDefault="00A23B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FA0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BC5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CD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2A2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080C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5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2E4B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96C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0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24F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47F9E"/>
    <w:multiLevelType w:val="hybridMultilevel"/>
    <w:tmpl w:val="5ADE74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C68B9"/>
    <w:multiLevelType w:val="hybridMultilevel"/>
    <w:tmpl w:val="F09E9E62"/>
    <w:lvl w:ilvl="0" w:tplc="D1D0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C1B96"/>
    <w:multiLevelType w:val="multilevel"/>
    <w:tmpl w:val="8E0619E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003366"/>
      </w:rPr>
    </w:lvl>
    <w:lvl w:ilvl="1">
      <w:start w:val="1"/>
      <w:numFmt w:val="decimal"/>
      <w:pStyle w:val="berschrift4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39D860E9"/>
    <w:multiLevelType w:val="multilevel"/>
    <w:tmpl w:val="6B287956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  <w:color w:val="00336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51F76ED"/>
    <w:multiLevelType w:val="hybridMultilevel"/>
    <w:tmpl w:val="2FC4BF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61476"/>
    <w:multiLevelType w:val="hybridMultilevel"/>
    <w:tmpl w:val="51DCB52C"/>
    <w:lvl w:ilvl="0" w:tplc="D1D0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A34"/>
    <w:multiLevelType w:val="hybridMultilevel"/>
    <w:tmpl w:val="5ECE5D62"/>
    <w:lvl w:ilvl="0" w:tplc="D1D0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723C7"/>
    <w:multiLevelType w:val="hybridMultilevel"/>
    <w:tmpl w:val="59C406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6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3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v:stroke endarrow="block" endarrowwidth="narr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1F"/>
    <w:rsid w:val="000030E3"/>
    <w:rsid w:val="000D5B3C"/>
    <w:rsid w:val="000E1C49"/>
    <w:rsid w:val="001001CF"/>
    <w:rsid w:val="001026C4"/>
    <w:rsid w:val="0018116E"/>
    <w:rsid w:val="001E2D20"/>
    <w:rsid w:val="00262206"/>
    <w:rsid w:val="0029425A"/>
    <w:rsid w:val="00380124"/>
    <w:rsid w:val="003B4BCA"/>
    <w:rsid w:val="003E0BAE"/>
    <w:rsid w:val="004047FD"/>
    <w:rsid w:val="00491982"/>
    <w:rsid w:val="0049251F"/>
    <w:rsid w:val="004B243C"/>
    <w:rsid w:val="00520D24"/>
    <w:rsid w:val="005820FD"/>
    <w:rsid w:val="006665CA"/>
    <w:rsid w:val="006A54AB"/>
    <w:rsid w:val="006C1512"/>
    <w:rsid w:val="00840221"/>
    <w:rsid w:val="00855488"/>
    <w:rsid w:val="00916CA6"/>
    <w:rsid w:val="009B5BD5"/>
    <w:rsid w:val="009C1891"/>
    <w:rsid w:val="009F596F"/>
    <w:rsid w:val="00A23BD1"/>
    <w:rsid w:val="00B63945"/>
    <w:rsid w:val="00C33BCD"/>
    <w:rsid w:val="00D3097B"/>
    <w:rsid w:val="00D87DDF"/>
    <w:rsid w:val="00D94C33"/>
    <w:rsid w:val="00F90408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endarrowwidth="narrow"/>
    </o:shapedefaults>
    <o:shapelayout v:ext="edit">
      <o:idmap v:ext="edit" data="1"/>
    </o:shapelayout>
  </w:shapeDefaults>
  <w:decimalSymbol w:val=","/>
  <w:listSeparator w:val=";"/>
  <w14:docId w14:val="0B5358E2"/>
  <w15:docId w15:val="{8620C4D0-F91B-48AA-9D1B-D9B2808E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3BD1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336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pPr>
      <w:keepNext/>
      <w:keepLines/>
      <w:numPr>
        <w:ilvl w:val="1"/>
        <w:numId w:val="1"/>
      </w:numPr>
      <w:spacing w:before="200"/>
      <w:outlineLvl w:val="3"/>
    </w:pPr>
    <w:rPr>
      <w:rFonts w:eastAsiaTheme="majorEastAsia" w:cs="Arial"/>
      <w:b/>
      <w:bCs/>
      <w:iCs/>
      <w:color w:val="00336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  <w:rPr>
      <w:rFonts w:cs="Arial"/>
    </w:rPr>
  </w:style>
  <w:style w:type="paragraph" w:styleId="Textkrper">
    <w:name w:val="Body Text"/>
    <w:basedOn w:val="Standard"/>
    <w:link w:val="TextkrperZchn"/>
    <w:semiHidden/>
    <w:pPr>
      <w:jc w:val="both"/>
    </w:pPr>
    <w:rPr>
      <w:rFonts w:cs="Arial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color w:val="003366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spacing w:line="276" w:lineRule="auto"/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pPr>
      <w:tabs>
        <w:tab w:val="left" w:pos="880"/>
        <w:tab w:val="right" w:leader="dot" w:pos="9854"/>
      </w:tabs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Pr>
      <w:rFonts w:ascii="Arial" w:eastAsiaTheme="majorEastAsia" w:hAnsi="Arial" w:cs="Arial"/>
      <w:noProof/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pPr>
      <w:tabs>
        <w:tab w:val="left" w:pos="1100"/>
        <w:tab w:val="right" w:leader="dot" w:pos="9854"/>
      </w:tabs>
      <w:spacing w:after="100" w:line="276" w:lineRule="auto"/>
      <w:ind w:left="198"/>
    </w:p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="Arial"/>
      <w:b/>
      <w:bCs/>
      <w:iCs/>
      <w:color w:val="00336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dex1">
    <w:name w:val="index 1"/>
    <w:basedOn w:val="Standard"/>
    <w:next w:val="berschrift2"/>
    <w:autoRedefine/>
    <w:uiPriority w:val="99"/>
    <w:semiHidden/>
    <w:unhideWhenUsed/>
    <w:pPr>
      <w:ind w:left="240" w:hanging="240"/>
    </w:pPr>
    <w:rPr>
      <w:b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TabelleText">
    <w:name w:val="t_Tabelle_Text"/>
    <w:qFormat/>
    <w:rsid w:val="003E0BAE"/>
    <w:pPr>
      <w:spacing w:before="40" w:after="40"/>
      <w:contextualSpacing/>
    </w:pPr>
    <w:rPr>
      <w:rFonts w:cs="Arial"/>
      <w:color w:val="000000"/>
    </w:rPr>
  </w:style>
  <w:style w:type="table" w:customStyle="1" w:styleId="Kopftabelle">
    <w:name w:val="Kopftabelle"/>
    <w:basedOn w:val="NormaleTabelle"/>
    <w:uiPriority w:val="99"/>
    <w:rsid w:val="003E0BAE"/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6D9F1"/>
      <w:tcMar>
        <w:top w:w="57" w:type="dxa"/>
        <w:left w:w="113" w:type="dxa"/>
        <w:bottom w:w="57" w:type="dxa"/>
        <w:right w:w="57" w:type="dxa"/>
      </w:tcMar>
    </w:tcPr>
  </w:style>
  <w:style w:type="paragraph" w:customStyle="1" w:styleId="standard0">
    <w:name w:val="standard"/>
    <w:link w:val="standardChar"/>
    <w:uiPriority w:val="99"/>
    <w:qFormat/>
    <w:rsid w:val="003E0BAE"/>
    <w:pPr>
      <w:spacing w:before="240"/>
    </w:pPr>
    <w:rPr>
      <w:rFonts w:ascii="Verdana" w:hAnsi="Verdana" w:cs="Arial"/>
    </w:rPr>
  </w:style>
  <w:style w:type="character" w:customStyle="1" w:styleId="standardChar">
    <w:name w:val="standard Char"/>
    <w:link w:val="standard0"/>
    <w:uiPriority w:val="99"/>
    <w:locked/>
    <w:rsid w:val="003E0BAE"/>
    <w:rPr>
      <w:rFonts w:ascii="Verdana" w:hAnsi="Verdana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47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7F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7F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7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7FD"/>
    <w:rPr>
      <w:b/>
      <w:bCs/>
    </w:rPr>
  </w:style>
  <w:style w:type="paragraph" w:customStyle="1" w:styleId="kKommentar">
    <w:name w:val="k_Kommentar"/>
    <w:link w:val="kKommentarZchn"/>
    <w:qFormat/>
    <w:rsid w:val="00840221"/>
    <w:pPr>
      <w:pBdr>
        <w:top w:val="single" w:sz="4" w:space="4" w:color="FFD85C"/>
        <w:left w:val="single" w:sz="4" w:space="4" w:color="FFD85C"/>
        <w:bottom w:val="single" w:sz="4" w:space="4" w:color="FFD85C"/>
        <w:right w:val="single" w:sz="4" w:space="4" w:color="FFD85C"/>
      </w:pBdr>
      <w:shd w:val="clear" w:color="auto" w:fill="FFD85C"/>
      <w:spacing w:before="160" w:after="160"/>
      <w:jc w:val="both"/>
    </w:pPr>
    <w:rPr>
      <w:color w:val="000000"/>
      <w:szCs w:val="22"/>
    </w:rPr>
  </w:style>
  <w:style w:type="character" w:customStyle="1" w:styleId="kKommentarZchn">
    <w:name w:val="k_Kommentar Zchn"/>
    <w:link w:val="kKommentar"/>
    <w:rsid w:val="00840221"/>
    <w:rPr>
      <w:color w:val="000000"/>
      <w:szCs w:val="22"/>
      <w:shd w:val="clear" w:color="auto" w:fill="FFD85C"/>
    </w:rPr>
  </w:style>
  <w:style w:type="character" w:customStyle="1" w:styleId="TextkrperZchn">
    <w:name w:val="Textkörper Zchn"/>
    <w:basedOn w:val="Absatz-Standardschriftart"/>
    <w:link w:val="Textkrper"/>
    <w:semiHidden/>
    <w:rsid w:val="00A23BD1"/>
    <w:rPr>
      <w:rFonts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23B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AD64-50AA-4126-A255-65C344CF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Grieshaber AG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aattenhauser</dc:creator>
  <cp:lastModifiedBy>Doris Borchert</cp:lastModifiedBy>
  <cp:revision>3</cp:revision>
  <cp:lastPrinted>2015-08-21T13:50:00Z</cp:lastPrinted>
  <dcterms:created xsi:type="dcterms:W3CDTF">2021-08-24T13:30:00Z</dcterms:created>
  <dcterms:modified xsi:type="dcterms:W3CDTF">2021-08-24T13:32:00Z</dcterms:modified>
</cp:coreProperties>
</file>